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58A0A" w14:textId="77777777" w:rsidR="00503D07" w:rsidRDefault="002151A4" w:rsidP="002151A4">
      <w:pPr>
        <w:jc w:val="center"/>
        <w:rPr>
          <w:b/>
          <w:sz w:val="28"/>
          <w:szCs w:val="28"/>
        </w:rPr>
      </w:pPr>
      <w:r>
        <w:rPr>
          <w:b/>
          <w:sz w:val="28"/>
          <w:szCs w:val="28"/>
        </w:rPr>
        <w:t>Personality Types</w:t>
      </w:r>
    </w:p>
    <w:p w14:paraId="7A5D82A9" w14:textId="77777777" w:rsidR="002151A4" w:rsidRPr="002151A4" w:rsidRDefault="002151A4" w:rsidP="002151A4">
      <w:pPr>
        <w:jc w:val="center"/>
        <w:rPr>
          <w:b/>
          <w:sz w:val="28"/>
          <w:szCs w:val="28"/>
        </w:rPr>
      </w:pPr>
    </w:p>
    <w:p w14:paraId="706A9636" w14:textId="77777777" w:rsidR="002151A4" w:rsidRDefault="002151A4">
      <w:r>
        <w:t xml:space="preserve">The Big Five personality types have become </w:t>
      </w:r>
      <w:r w:rsidR="00257CBA">
        <w:t>“</w:t>
      </w:r>
      <w:r>
        <w:t xml:space="preserve">the foundation for assessing individual differences in the ways people interact with their social and physical worlds.  Three domains – </w:t>
      </w:r>
      <w:r w:rsidRPr="00BB3D50">
        <w:rPr>
          <w:b/>
        </w:rPr>
        <w:t>Extraversion, Agreeableness, and Neuroticism</w:t>
      </w:r>
      <w:r>
        <w:t xml:space="preserve"> – mainly relate to ways of interacting with other people.  The other two – </w:t>
      </w:r>
      <w:r w:rsidRPr="00BB3D50">
        <w:rPr>
          <w:b/>
        </w:rPr>
        <w:t xml:space="preserve">Conscientiousness </w:t>
      </w:r>
      <w:bookmarkStart w:id="0" w:name="_GoBack"/>
      <w:r w:rsidRPr="00BB3D50">
        <w:t xml:space="preserve">and </w:t>
      </w:r>
      <w:bookmarkEnd w:id="0"/>
      <w:r w:rsidRPr="00BB3D50">
        <w:rPr>
          <w:b/>
        </w:rPr>
        <w:t>Openness</w:t>
      </w:r>
      <w:r>
        <w:t xml:space="preserve"> – are more general.</w:t>
      </w:r>
      <w:r w:rsidR="00257CBA">
        <w:t xml:space="preserve">” </w:t>
      </w:r>
      <w:r w:rsidR="00257CBA">
        <w:rPr>
          <w:rStyle w:val="FootnoteReference"/>
        </w:rPr>
        <w:footnoteReference w:id="1"/>
      </w:r>
    </w:p>
    <w:p w14:paraId="44118988" w14:textId="77777777" w:rsidR="002151A4" w:rsidRDefault="002151A4"/>
    <w:tbl>
      <w:tblPr>
        <w:tblStyle w:val="TableGrid"/>
        <w:tblW w:w="8856" w:type="dxa"/>
        <w:tblLook w:val="04A0" w:firstRow="1" w:lastRow="0" w:firstColumn="1" w:lastColumn="0" w:noHBand="0" w:noVBand="1"/>
      </w:tblPr>
      <w:tblGrid>
        <w:gridCol w:w="2952"/>
        <w:gridCol w:w="2952"/>
        <w:gridCol w:w="2952"/>
      </w:tblGrid>
      <w:tr w:rsidR="002151A4" w14:paraId="5D7F34A5" w14:textId="77777777" w:rsidTr="00257CBA">
        <w:tc>
          <w:tcPr>
            <w:tcW w:w="2952" w:type="dxa"/>
          </w:tcPr>
          <w:p w14:paraId="6FD6003E" w14:textId="77777777" w:rsidR="002151A4" w:rsidRDefault="002151A4"/>
        </w:tc>
        <w:tc>
          <w:tcPr>
            <w:tcW w:w="2952" w:type="dxa"/>
          </w:tcPr>
          <w:p w14:paraId="7FD4428E" w14:textId="77777777" w:rsidR="002151A4" w:rsidRDefault="002151A4">
            <w:r>
              <w:t>HIGH</w:t>
            </w:r>
            <w:r w:rsidR="00032CC9">
              <w:t xml:space="preserve"> </w:t>
            </w:r>
            <w:r w:rsidR="00B2453B">
              <w:t>(10)</w:t>
            </w:r>
          </w:p>
        </w:tc>
        <w:tc>
          <w:tcPr>
            <w:tcW w:w="2952" w:type="dxa"/>
          </w:tcPr>
          <w:p w14:paraId="0D0A417E" w14:textId="77777777" w:rsidR="002151A4" w:rsidRDefault="002151A4">
            <w:r>
              <w:t>LOW</w:t>
            </w:r>
            <w:r w:rsidR="00B2453B">
              <w:t xml:space="preserve"> (1)</w:t>
            </w:r>
          </w:p>
        </w:tc>
      </w:tr>
      <w:tr w:rsidR="002151A4" w14:paraId="5E81E0A0" w14:textId="77777777" w:rsidTr="00257CBA">
        <w:tc>
          <w:tcPr>
            <w:tcW w:w="2952" w:type="dxa"/>
          </w:tcPr>
          <w:p w14:paraId="74138EC8" w14:textId="77777777" w:rsidR="002151A4" w:rsidRDefault="002151A4">
            <w:r w:rsidRPr="00BB3D50">
              <w:rPr>
                <w:b/>
              </w:rPr>
              <w:t>Extraversion</w:t>
            </w:r>
            <w:r>
              <w:t xml:space="preserve"> vs. Introversion</w:t>
            </w:r>
          </w:p>
        </w:tc>
        <w:tc>
          <w:tcPr>
            <w:tcW w:w="2952" w:type="dxa"/>
          </w:tcPr>
          <w:p w14:paraId="2D597DA0" w14:textId="77777777" w:rsidR="002151A4" w:rsidRDefault="002151A4">
            <w:r>
              <w:t>Outgoing, bold, talkative, energetic, assertive</w:t>
            </w:r>
          </w:p>
        </w:tc>
        <w:tc>
          <w:tcPr>
            <w:tcW w:w="2952" w:type="dxa"/>
          </w:tcPr>
          <w:p w14:paraId="5D353D6A" w14:textId="77777777" w:rsidR="002151A4" w:rsidRDefault="002151A4">
            <w:r>
              <w:t xml:space="preserve">Withdrawn, timid, silent, reserved, shy, </w:t>
            </w:r>
            <w:r w:rsidRPr="002151A4">
              <w:rPr>
                <w:i/>
              </w:rPr>
              <w:t>retiring</w:t>
            </w:r>
            <w:r w:rsidR="00032CC9">
              <w:rPr>
                <w:rStyle w:val="FootnoteReference"/>
                <w:i/>
              </w:rPr>
              <w:footnoteReference w:id="2"/>
            </w:r>
          </w:p>
        </w:tc>
      </w:tr>
      <w:tr w:rsidR="002151A4" w14:paraId="19B25B1D" w14:textId="77777777" w:rsidTr="00257CBA">
        <w:tc>
          <w:tcPr>
            <w:tcW w:w="2952" w:type="dxa"/>
          </w:tcPr>
          <w:p w14:paraId="37934127" w14:textId="77777777" w:rsidR="002151A4" w:rsidRDefault="002151A4">
            <w:r w:rsidRPr="00BB3D50">
              <w:rPr>
                <w:b/>
              </w:rPr>
              <w:t>Conscientiousness</w:t>
            </w:r>
            <w:r>
              <w:t xml:space="preserve"> vs. </w:t>
            </w:r>
            <w:proofErr w:type="spellStart"/>
            <w:r>
              <w:t>Disinhibition</w:t>
            </w:r>
            <w:proofErr w:type="spellEnd"/>
            <w:r>
              <w:t xml:space="preserve"> (</w:t>
            </w:r>
            <w:proofErr w:type="spellStart"/>
            <w:r w:rsidRPr="002151A4">
              <w:rPr>
                <w:i/>
              </w:rPr>
              <w:t>Undirectedness</w:t>
            </w:r>
            <w:proofErr w:type="spellEnd"/>
            <w:r>
              <w:t>)</w:t>
            </w:r>
          </w:p>
        </w:tc>
        <w:tc>
          <w:tcPr>
            <w:tcW w:w="2952" w:type="dxa"/>
          </w:tcPr>
          <w:p w14:paraId="273745A5" w14:textId="77777777" w:rsidR="002151A4" w:rsidRPr="00257CBA" w:rsidRDefault="00257CBA">
            <w:r>
              <w:t>Reliable, practical, hardworking, organized, careful</w:t>
            </w:r>
          </w:p>
        </w:tc>
        <w:tc>
          <w:tcPr>
            <w:tcW w:w="2952" w:type="dxa"/>
          </w:tcPr>
          <w:p w14:paraId="0E778191" w14:textId="77777777" w:rsidR="002151A4" w:rsidRPr="00257CBA" w:rsidRDefault="00257CBA">
            <w:pPr>
              <w:rPr>
                <w:i/>
              </w:rPr>
            </w:pPr>
            <w:r>
              <w:t xml:space="preserve">Unreliable, impractical, lazy, disorganized, negligent, </w:t>
            </w:r>
            <w:r>
              <w:rPr>
                <w:i/>
              </w:rPr>
              <w:t>careless</w:t>
            </w:r>
          </w:p>
        </w:tc>
      </w:tr>
      <w:tr w:rsidR="002151A4" w14:paraId="7B538C21" w14:textId="77777777" w:rsidTr="00257CBA">
        <w:tc>
          <w:tcPr>
            <w:tcW w:w="2952" w:type="dxa"/>
          </w:tcPr>
          <w:p w14:paraId="6A5E2D4B" w14:textId="77777777" w:rsidR="002151A4" w:rsidRDefault="002151A4">
            <w:r w:rsidRPr="00BB3D50">
              <w:rPr>
                <w:b/>
              </w:rPr>
              <w:t>Neuroticism</w:t>
            </w:r>
            <w:r>
              <w:t xml:space="preserve"> vs. Emotional Stability</w:t>
            </w:r>
          </w:p>
        </w:tc>
        <w:tc>
          <w:tcPr>
            <w:tcW w:w="2952" w:type="dxa"/>
          </w:tcPr>
          <w:p w14:paraId="39FC7435" w14:textId="77777777" w:rsidR="002151A4" w:rsidRDefault="002151A4">
            <w:r>
              <w:t xml:space="preserve">Tense, unstable, disconnected, irritable, insecure, </w:t>
            </w:r>
            <w:r w:rsidRPr="002151A4">
              <w:rPr>
                <w:i/>
              </w:rPr>
              <w:t>worrier</w:t>
            </w:r>
          </w:p>
        </w:tc>
        <w:tc>
          <w:tcPr>
            <w:tcW w:w="2952" w:type="dxa"/>
          </w:tcPr>
          <w:p w14:paraId="2502E68E" w14:textId="77777777" w:rsidR="002151A4" w:rsidRPr="00257CBA" w:rsidRDefault="002151A4">
            <w:pPr>
              <w:rPr>
                <w:i/>
              </w:rPr>
            </w:pPr>
            <w:r>
              <w:t xml:space="preserve">Relaxed, stable, contented, imperturbable, </w:t>
            </w:r>
            <w:r w:rsidR="00257CBA">
              <w:t xml:space="preserve">secure, </w:t>
            </w:r>
            <w:r w:rsidR="00257CBA">
              <w:rPr>
                <w:i/>
              </w:rPr>
              <w:t>calm, self-satisfied</w:t>
            </w:r>
          </w:p>
        </w:tc>
      </w:tr>
      <w:tr w:rsidR="002151A4" w14:paraId="13B58CC8" w14:textId="77777777" w:rsidTr="00257CBA">
        <w:tc>
          <w:tcPr>
            <w:tcW w:w="2952" w:type="dxa"/>
          </w:tcPr>
          <w:p w14:paraId="4F33D72E" w14:textId="77777777" w:rsidR="002151A4" w:rsidRDefault="002151A4">
            <w:r w:rsidRPr="00BB3D50">
              <w:rPr>
                <w:b/>
              </w:rPr>
              <w:t>Openness</w:t>
            </w:r>
            <w:r>
              <w:t xml:space="preserve"> vs. </w:t>
            </w:r>
            <w:proofErr w:type="spellStart"/>
            <w:r>
              <w:t>Closedness</w:t>
            </w:r>
            <w:proofErr w:type="spellEnd"/>
          </w:p>
        </w:tc>
        <w:tc>
          <w:tcPr>
            <w:tcW w:w="2952" w:type="dxa"/>
          </w:tcPr>
          <w:p w14:paraId="12D2F008" w14:textId="77777777" w:rsidR="002151A4" w:rsidRDefault="00257CBA">
            <w:r>
              <w:t xml:space="preserve">Imaginative, curious, reflective, creative, sophisticated, </w:t>
            </w:r>
            <w:r w:rsidRPr="00257CBA">
              <w:rPr>
                <w:i/>
              </w:rPr>
              <w:t>daring</w:t>
            </w:r>
          </w:p>
        </w:tc>
        <w:tc>
          <w:tcPr>
            <w:tcW w:w="2952" w:type="dxa"/>
          </w:tcPr>
          <w:p w14:paraId="414F2119" w14:textId="77777777" w:rsidR="002151A4" w:rsidRDefault="00257CBA">
            <w:r>
              <w:t xml:space="preserve">Unimaginative, </w:t>
            </w:r>
            <w:proofErr w:type="spellStart"/>
            <w:r>
              <w:t>uninquisitive</w:t>
            </w:r>
            <w:proofErr w:type="spellEnd"/>
            <w:r>
              <w:t xml:space="preserve">, unreflective, uncreative, unsophisticated, </w:t>
            </w:r>
            <w:r w:rsidRPr="00257CBA">
              <w:rPr>
                <w:i/>
              </w:rPr>
              <w:t>conforming</w:t>
            </w:r>
          </w:p>
        </w:tc>
      </w:tr>
      <w:tr w:rsidR="00257CBA" w14:paraId="71BF0559" w14:textId="77777777" w:rsidTr="00257CBA">
        <w:tc>
          <w:tcPr>
            <w:tcW w:w="2952" w:type="dxa"/>
          </w:tcPr>
          <w:p w14:paraId="36E6A02F" w14:textId="77777777" w:rsidR="00257CBA" w:rsidRDefault="00257CBA" w:rsidP="00257CBA">
            <w:r w:rsidRPr="00BB3D50">
              <w:rPr>
                <w:b/>
              </w:rPr>
              <w:t>Agreeableness</w:t>
            </w:r>
            <w:r>
              <w:t xml:space="preserve"> vs. Antagonism</w:t>
            </w:r>
          </w:p>
        </w:tc>
        <w:tc>
          <w:tcPr>
            <w:tcW w:w="2952" w:type="dxa"/>
          </w:tcPr>
          <w:p w14:paraId="489C0882" w14:textId="77777777" w:rsidR="00257CBA" w:rsidRDefault="00257CBA">
            <w:r>
              <w:t xml:space="preserve">Warm, kind, cooperative, trusting, generous, </w:t>
            </w:r>
            <w:r w:rsidRPr="00257CBA">
              <w:rPr>
                <w:i/>
              </w:rPr>
              <w:t>courteous</w:t>
            </w:r>
          </w:p>
        </w:tc>
        <w:tc>
          <w:tcPr>
            <w:tcW w:w="2952" w:type="dxa"/>
          </w:tcPr>
          <w:p w14:paraId="24FF5079" w14:textId="77777777" w:rsidR="00257CBA" w:rsidRPr="00257CBA" w:rsidRDefault="00257CBA">
            <w:pPr>
              <w:rPr>
                <w:i/>
              </w:rPr>
            </w:pPr>
            <w:r>
              <w:t xml:space="preserve">Cold, unkind, uncooperative, suspicious, stingy, </w:t>
            </w:r>
            <w:r>
              <w:rPr>
                <w:i/>
              </w:rPr>
              <w:t>rude</w:t>
            </w:r>
          </w:p>
        </w:tc>
      </w:tr>
    </w:tbl>
    <w:p w14:paraId="483D2DE7" w14:textId="77777777" w:rsidR="002151A4" w:rsidRDefault="002151A4"/>
    <w:p w14:paraId="6E16D972" w14:textId="77777777" w:rsidR="00032CC9" w:rsidRDefault="00032CC9">
      <w:r>
        <w:t>People can be tested on the above personality types and</w:t>
      </w:r>
      <w:r w:rsidR="00B2453B">
        <w:t xml:space="preserve"> on each one get a score of 10 (HIGH) to 1 (LOW)</w:t>
      </w:r>
      <w:r>
        <w:t xml:space="preserve">.   </w:t>
      </w:r>
      <w:r w:rsidR="00B2453B">
        <w:t xml:space="preserve">The traits are independent, thus, for example, a person could score a 10 on Extraversion, a 4 on Conscientiousness, an 8 on </w:t>
      </w:r>
      <w:proofErr w:type="spellStart"/>
      <w:r w:rsidR="00B2453B">
        <w:t>Neroticism</w:t>
      </w:r>
      <w:proofErr w:type="spellEnd"/>
      <w:r w:rsidR="00B2453B">
        <w:t>, a 2 on Openness, and a 3 on Agreeableness.  Self-administered tests are not particularly valid or reliable.</w:t>
      </w:r>
    </w:p>
    <w:p w14:paraId="7DA0E525" w14:textId="77777777" w:rsidR="00B2453B" w:rsidRDefault="00B2453B"/>
    <w:p w14:paraId="2083AAAA" w14:textId="77777777" w:rsidR="00B2453B" w:rsidRPr="00B2453B" w:rsidRDefault="00B2453B">
      <w:r>
        <w:t xml:space="preserve">“Much of the variation in personality – about fifty percent – has genetic causes.”  “[Twins] Being brought up in one home versus another accounts, at most, for </w:t>
      </w:r>
      <w:r w:rsidRPr="00B2453B">
        <w:rPr>
          <w:i/>
        </w:rPr>
        <w:t>five percent</w:t>
      </w:r>
      <w:r>
        <w:rPr>
          <w:i/>
        </w:rPr>
        <w:t xml:space="preserve"> </w:t>
      </w:r>
      <w:r>
        <w:t xml:space="preserve">of the differences among people in personality.” “No one knows where the other forty-five percent of the variation comes from.  Perhaps personality is shaped by unique events impinging on the growing brain: how the fetus lay in the womb, how much maternal blood is diverted, </w:t>
      </w:r>
      <w:r w:rsidR="00FF078A">
        <w:t xml:space="preserve">how it was squeezed during birth, whether it was dropped on its head or caught certain viruses in the early years.  Perhaps personality is shaped by unique experiences, like being chased by a dog or receiving </w:t>
      </w:r>
      <w:r w:rsidR="00FF078A">
        <w:lastRenderedPageBreak/>
        <w:t>an act of kindness from a teacher. “ …”Judith Harris has amassed evidence that children everywhere are socialized by their peer group, not by their parents.”</w:t>
      </w:r>
      <w:r w:rsidR="00FF078A">
        <w:rPr>
          <w:rStyle w:val="FootnoteReference"/>
        </w:rPr>
        <w:footnoteReference w:id="3"/>
      </w:r>
    </w:p>
    <w:sectPr w:rsidR="00B2453B" w:rsidRPr="00B2453B" w:rsidSect="00503D0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FB783" w14:textId="77777777" w:rsidR="00B2453B" w:rsidRDefault="00B2453B" w:rsidP="00257CBA">
      <w:r>
        <w:separator/>
      </w:r>
    </w:p>
  </w:endnote>
  <w:endnote w:type="continuationSeparator" w:id="0">
    <w:p w14:paraId="71A6B711" w14:textId="77777777" w:rsidR="00B2453B" w:rsidRDefault="00B2453B" w:rsidP="0025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6F6B9" w14:textId="77777777" w:rsidR="00B2453B" w:rsidRDefault="00B2453B" w:rsidP="00257CBA">
      <w:r>
        <w:separator/>
      </w:r>
    </w:p>
  </w:footnote>
  <w:footnote w:type="continuationSeparator" w:id="0">
    <w:p w14:paraId="72DB0C32" w14:textId="77777777" w:rsidR="00B2453B" w:rsidRDefault="00B2453B" w:rsidP="00257CBA">
      <w:r>
        <w:continuationSeparator/>
      </w:r>
    </w:p>
  </w:footnote>
  <w:footnote w:id="1">
    <w:p w14:paraId="3E58842C" w14:textId="77777777" w:rsidR="00B2453B" w:rsidRPr="00032CC9" w:rsidRDefault="00B2453B">
      <w:pPr>
        <w:pStyle w:val="FootnoteText"/>
      </w:pPr>
      <w:r>
        <w:rPr>
          <w:rStyle w:val="FootnoteReference"/>
        </w:rPr>
        <w:footnoteRef/>
      </w:r>
      <w:r>
        <w:t xml:space="preserve"> </w:t>
      </w:r>
      <w:r>
        <w:rPr>
          <w:i/>
        </w:rPr>
        <w:t>Making Sense of People.  (2012)</w:t>
      </w:r>
      <w:proofErr w:type="gramStart"/>
      <w:r>
        <w:rPr>
          <w:i/>
        </w:rPr>
        <w:t xml:space="preserve">.  </w:t>
      </w:r>
      <w:r>
        <w:t xml:space="preserve">Samuel </w:t>
      </w:r>
      <w:proofErr w:type="spellStart"/>
      <w:r>
        <w:t>Barondes</w:t>
      </w:r>
      <w:proofErr w:type="spellEnd"/>
      <w:r>
        <w:t>.</w:t>
      </w:r>
      <w:proofErr w:type="gramEnd"/>
      <w:r>
        <w:t xml:space="preserve">  FT Press.</w:t>
      </w:r>
      <w:r w:rsidR="00FF078A">
        <w:t xml:space="preserve"> p. 16.</w:t>
      </w:r>
    </w:p>
  </w:footnote>
  <w:footnote w:id="2">
    <w:p w14:paraId="64D36EF6" w14:textId="77777777" w:rsidR="00B2453B" w:rsidRPr="00032CC9" w:rsidRDefault="00B2453B">
      <w:pPr>
        <w:pStyle w:val="FootnoteText"/>
      </w:pPr>
      <w:r>
        <w:rPr>
          <w:rStyle w:val="FootnoteReference"/>
        </w:rPr>
        <w:footnoteRef/>
      </w:r>
      <w:r>
        <w:t xml:space="preserve"> Words in italics are included from </w:t>
      </w:r>
      <w:proofErr w:type="gramStart"/>
      <w:r>
        <w:rPr>
          <w:i/>
        </w:rPr>
        <w:t>How</w:t>
      </w:r>
      <w:proofErr w:type="gramEnd"/>
      <w:r>
        <w:rPr>
          <w:i/>
        </w:rPr>
        <w:t xml:space="preserve"> The Mind Works.  </w:t>
      </w:r>
      <w:r w:rsidR="00BB3D50">
        <w:t>(1997)</w:t>
      </w:r>
      <w:proofErr w:type="gramStart"/>
      <w:r w:rsidR="00BB3D50">
        <w:t xml:space="preserve">. </w:t>
      </w:r>
      <w:r>
        <w:t>Steven Pinker.</w:t>
      </w:r>
      <w:proofErr w:type="gramEnd"/>
      <w:r>
        <w:t xml:space="preserve">  W.W. Norton.</w:t>
      </w:r>
      <w:r w:rsidR="00FF078A">
        <w:t xml:space="preserve"> p. 448.</w:t>
      </w:r>
    </w:p>
  </w:footnote>
  <w:footnote w:id="3">
    <w:p w14:paraId="1E54D18C" w14:textId="77777777" w:rsidR="00FF078A" w:rsidRPr="00032CC9" w:rsidRDefault="00FF078A" w:rsidP="00FF078A">
      <w:pPr>
        <w:pStyle w:val="FootnoteText"/>
      </w:pPr>
      <w:r>
        <w:rPr>
          <w:rStyle w:val="FootnoteReference"/>
        </w:rPr>
        <w:footnoteRef/>
      </w:r>
      <w:r>
        <w:t xml:space="preserve"> </w:t>
      </w:r>
      <w:r>
        <w:rPr>
          <w:i/>
        </w:rPr>
        <w:t xml:space="preserve">How The Mind Works.  </w:t>
      </w:r>
      <w:r>
        <w:t>(1997)</w:t>
      </w:r>
      <w:proofErr w:type="gramStart"/>
      <w:r>
        <w:t>. Steven Pinker.</w:t>
      </w:r>
      <w:proofErr w:type="gramEnd"/>
      <w:r>
        <w:t xml:space="preserve"> W.W. Norton. p. 449.</w:t>
      </w:r>
    </w:p>
    <w:p w14:paraId="36F7BD34" w14:textId="77777777" w:rsidR="00FF078A" w:rsidRPr="00FF078A" w:rsidRDefault="00FF078A">
      <w:pPr>
        <w:pStyle w:val="FootnoteText"/>
        <w:rPr>
          <w: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A4"/>
    <w:rsid w:val="00032CC9"/>
    <w:rsid w:val="002151A4"/>
    <w:rsid w:val="00257CBA"/>
    <w:rsid w:val="00503D07"/>
    <w:rsid w:val="00B2453B"/>
    <w:rsid w:val="00BB3D50"/>
    <w:rsid w:val="00FF0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E0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57CBA"/>
  </w:style>
  <w:style w:type="character" w:customStyle="1" w:styleId="FootnoteTextChar">
    <w:name w:val="Footnote Text Char"/>
    <w:basedOn w:val="DefaultParagraphFont"/>
    <w:link w:val="FootnoteText"/>
    <w:uiPriority w:val="99"/>
    <w:rsid w:val="00257CBA"/>
  </w:style>
  <w:style w:type="character" w:styleId="FootnoteReference">
    <w:name w:val="footnote reference"/>
    <w:basedOn w:val="DefaultParagraphFont"/>
    <w:uiPriority w:val="99"/>
    <w:unhideWhenUsed/>
    <w:rsid w:val="00257CB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57CBA"/>
  </w:style>
  <w:style w:type="character" w:customStyle="1" w:styleId="FootnoteTextChar">
    <w:name w:val="Footnote Text Char"/>
    <w:basedOn w:val="DefaultParagraphFont"/>
    <w:link w:val="FootnoteText"/>
    <w:uiPriority w:val="99"/>
    <w:rsid w:val="00257CBA"/>
  </w:style>
  <w:style w:type="character" w:styleId="FootnoteReference">
    <w:name w:val="footnote reference"/>
    <w:basedOn w:val="DefaultParagraphFont"/>
    <w:uiPriority w:val="99"/>
    <w:unhideWhenUsed/>
    <w:rsid w:val="00257C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350</Words>
  <Characters>1998</Characters>
  <Application>Microsoft Macintosh Word</Application>
  <DocSecurity>0</DocSecurity>
  <Lines>16</Lines>
  <Paragraphs>4</Paragraphs>
  <ScaleCrop>false</ScaleCrop>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2</cp:revision>
  <dcterms:created xsi:type="dcterms:W3CDTF">2013-03-19T22:13:00Z</dcterms:created>
  <dcterms:modified xsi:type="dcterms:W3CDTF">2014-08-06T17:14:00Z</dcterms:modified>
</cp:coreProperties>
</file>